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4C40B" w14:textId="1E7BAB31" w:rsidR="00B11782" w:rsidRDefault="00B11782" w:rsidP="005F3383">
      <w:pPr>
        <w:spacing w:after="0" w:line="276" w:lineRule="auto"/>
        <w:ind w:firstLine="708"/>
        <w:jc w:val="both"/>
        <w:rPr>
          <w:rFonts w:ascii="Calibri" w:hAnsi="Calibri" w:cs="Calibri"/>
          <w:color w:val="000000" w:themeColor="text1"/>
        </w:rPr>
      </w:pPr>
      <w:r w:rsidRPr="0093157A">
        <w:rPr>
          <w:rFonts w:cstheme="minorHAnsi"/>
          <w:noProof/>
          <w:sz w:val="24"/>
          <w:szCs w:val="24"/>
          <w:lang w:eastAsia="pl-PL"/>
        </w:rPr>
        <w:drawing>
          <wp:anchor distT="0" distB="0" distL="114300" distR="114300" simplePos="0" relativeHeight="251659264" behindDoc="0" locked="0" layoutInCell="1" allowOverlap="1" wp14:anchorId="0963428F" wp14:editId="3FFD0D90">
            <wp:simplePos x="0" y="0"/>
            <wp:positionH relativeFrom="column">
              <wp:posOffset>0</wp:posOffset>
            </wp:positionH>
            <wp:positionV relativeFrom="paragraph">
              <wp:posOffset>200025</wp:posOffset>
            </wp:positionV>
            <wp:extent cx="5760720" cy="579120"/>
            <wp:effectExtent l="0" t="0" r="0" b="0"/>
            <wp:wrapSquare wrapText="bothSides"/>
            <wp:docPr id="587604329" name="Obraz 2" descr="Na obrazku znajdują się następujące elemnety: od lewej napis Fundusze Europejskie dla Łódzkiego wraz z  symbolem, drugi napis to Rzeczpospolita Polska wraz z flagą biało-czerwoną, trzeci napis to napis Dofinansowane przez Unię Europejską wraz z flagą Unii Europejskiej, ostatni z prawej strony oficjalne logo promocyjne Województwa Łódzkiego wraz z symbolem" title="Opis logotypów"/>
            <wp:cNvGraphicFramePr/>
            <a:graphic xmlns:a="http://schemas.openxmlformats.org/drawingml/2006/main">
              <a:graphicData uri="http://schemas.openxmlformats.org/drawingml/2006/picture">
                <pic:pic xmlns:pic="http://schemas.openxmlformats.org/drawingml/2006/picture">
                  <pic:nvPicPr>
                    <pic:cNvPr id="587604329" name="Obraz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pic:spPr>
                </pic:pic>
              </a:graphicData>
            </a:graphic>
            <wp14:sizeRelH relativeFrom="page">
              <wp14:pctWidth>0</wp14:pctWidth>
            </wp14:sizeRelH>
            <wp14:sizeRelV relativeFrom="page">
              <wp14:pctHeight>0</wp14:pctHeight>
            </wp14:sizeRelV>
          </wp:anchor>
        </w:drawing>
      </w:r>
    </w:p>
    <w:p w14:paraId="47F1B363" w14:textId="77777777" w:rsidR="00B11782" w:rsidRDefault="00B11782" w:rsidP="005F3383">
      <w:pPr>
        <w:spacing w:after="0" w:line="276" w:lineRule="auto"/>
        <w:ind w:firstLine="708"/>
        <w:jc w:val="both"/>
        <w:rPr>
          <w:rFonts w:ascii="Calibri" w:hAnsi="Calibri" w:cs="Calibri"/>
          <w:color w:val="000000" w:themeColor="text1"/>
        </w:rPr>
      </w:pPr>
    </w:p>
    <w:p w14:paraId="4F95ACF2" w14:textId="77777777" w:rsidR="00B11782" w:rsidRPr="00B11782" w:rsidRDefault="00B11782" w:rsidP="00B11782">
      <w:pPr>
        <w:keepNext/>
        <w:tabs>
          <w:tab w:val="left" w:pos="426"/>
        </w:tabs>
        <w:spacing w:after="0" w:line="276" w:lineRule="auto"/>
        <w:outlineLvl w:val="0"/>
        <w:rPr>
          <w:rFonts w:eastAsia="Arial Unicode MS" w:cs="Times New Roman"/>
          <w:b/>
          <w:bCs/>
          <w:kern w:val="32"/>
          <w:sz w:val="24"/>
          <w:szCs w:val="24"/>
          <w:u w:color="000000"/>
          <w:lang w:eastAsia="pl-PL"/>
          <w14:ligatures w14:val="none"/>
        </w:rPr>
      </w:pPr>
      <w:r w:rsidRPr="00B11782">
        <w:rPr>
          <w:rFonts w:eastAsia="Arial Unicode MS" w:cs="Times New Roman"/>
          <w:b/>
          <w:bCs/>
          <w:kern w:val="32"/>
          <w:sz w:val="24"/>
          <w:szCs w:val="24"/>
          <w:u w:color="000000"/>
          <w:lang w:eastAsia="pl-PL"/>
          <w14:ligatures w14:val="none"/>
        </w:rPr>
        <w:t xml:space="preserve">Załącznik nr 1 do zapytania </w:t>
      </w:r>
    </w:p>
    <w:p w14:paraId="3C18AF68" w14:textId="77777777" w:rsidR="00B11782" w:rsidRPr="00B11782" w:rsidRDefault="00B11782" w:rsidP="00B11782">
      <w:pPr>
        <w:spacing w:after="0" w:line="276" w:lineRule="auto"/>
        <w:rPr>
          <w:rFonts w:cstheme="minorHAnsi"/>
          <w:sz w:val="24"/>
          <w:szCs w:val="24"/>
        </w:rPr>
      </w:pPr>
    </w:p>
    <w:p w14:paraId="1A0E0D6A" w14:textId="77777777" w:rsidR="00B11782" w:rsidRPr="00B11782" w:rsidRDefault="00B11782" w:rsidP="00B11782">
      <w:pPr>
        <w:keepNext/>
        <w:keepLines/>
        <w:spacing w:after="0" w:line="360" w:lineRule="auto"/>
        <w:jc w:val="center"/>
        <w:outlineLvl w:val="1"/>
        <w:rPr>
          <w:rFonts w:ascii="Calibri" w:eastAsiaTheme="majorEastAsia" w:hAnsi="Calibri" w:cstheme="majorBidi"/>
          <w:b/>
          <w:sz w:val="28"/>
          <w:szCs w:val="32"/>
        </w:rPr>
      </w:pPr>
      <w:r w:rsidRPr="00B11782">
        <w:rPr>
          <w:rFonts w:ascii="Calibri" w:eastAsiaTheme="majorEastAsia" w:hAnsi="Calibri" w:cstheme="majorBidi"/>
          <w:b/>
          <w:sz w:val="28"/>
          <w:szCs w:val="32"/>
        </w:rPr>
        <w:t>Opis przedmiotu zamówienia</w:t>
      </w:r>
    </w:p>
    <w:p w14:paraId="7A020B38" w14:textId="77777777" w:rsidR="00B11782" w:rsidRDefault="00B11782" w:rsidP="005F3383">
      <w:pPr>
        <w:spacing w:after="0" w:line="276" w:lineRule="auto"/>
        <w:ind w:firstLine="708"/>
        <w:jc w:val="both"/>
        <w:rPr>
          <w:rFonts w:ascii="Calibri" w:hAnsi="Calibri" w:cs="Calibri"/>
          <w:color w:val="000000" w:themeColor="text1"/>
        </w:rPr>
      </w:pPr>
    </w:p>
    <w:p w14:paraId="645F9437" w14:textId="39C11736" w:rsidR="0039054E" w:rsidRPr="00B11782" w:rsidRDefault="006B7F92"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Przedmiotem </w:t>
      </w:r>
      <w:proofErr w:type="gramStart"/>
      <w:r w:rsidRPr="00B11782">
        <w:rPr>
          <w:rFonts w:cstheme="minorHAnsi"/>
          <w:color w:val="000000" w:themeColor="text1"/>
          <w:sz w:val="24"/>
          <w:szCs w:val="24"/>
        </w:rPr>
        <w:t>zamówienia  jest</w:t>
      </w:r>
      <w:proofErr w:type="gramEnd"/>
      <w:r w:rsidRPr="00B11782">
        <w:rPr>
          <w:rFonts w:cstheme="minorHAnsi"/>
          <w:color w:val="000000" w:themeColor="text1"/>
          <w:sz w:val="24"/>
          <w:szCs w:val="24"/>
        </w:rPr>
        <w:t xml:space="preserve"> wykonanie wielobranżowej dokumentacji projektowo – kosztorysowej wraz z uzyskaniem pozwolenia na budowę dla zadania inwestycyjnego pn. </w:t>
      </w:r>
      <w:r w:rsidR="00CE3272" w:rsidRPr="00B11782">
        <w:rPr>
          <w:rFonts w:cstheme="minorHAnsi"/>
          <w:bCs/>
          <w:sz w:val="24"/>
          <w:szCs w:val="24"/>
        </w:rPr>
        <w:t xml:space="preserve">„Rewitalizacja centrum Sulejowa poprzez utworzenie miejskiego centrum przesiadkowego” </w:t>
      </w:r>
      <w:r w:rsidRPr="00B11782">
        <w:rPr>
          <w:rFonts w:cstheme="minorHAnsi"/>
          <w:color w:val="000000" w:themeColor="text1"/>
          <w:sz w:val="24"/>
          <w:szCs w:val="24"/>
        </w:rPr>
        <w:t xml:space="preserve">na działkach nr ewid. </w:t>
      </w:r>
      <w:r w:rsidR="00CE3272" w:rsidRPr="00B11782">
        <w:rPr>
          <w:rFonts w:cstheme="minorHAnsi"/>
          <w:color w:val="000000" w:themeColor="text1"/>
          <w:sz w:val="24"/>
          <w:szCs w:val="24"/>
        </w:rPr>
        <w:t xml:space="preserve">54, 56/2, 56/1, 57/7, 57/8 </w:t>
      </w:r>
      <w:r w:rsidRPr="00B11782">
        <w:rPr>
          <w:rFonts w:cstheme="minorHAnsi"/>
          <w:color w:val="000000" w:themeColor="text1"/>
          <w:sz w:val="24"/>
          <w:szCs w:val="24"/>
        </w:rPr>
        <w:t xml:space="preserve"> </w:t>
      </w:r>
      <w:proofErr w:type="gramStart"/>
      <w:r w:rsidRPr="00B11782">
        <w:rPr>
          <w:rFonts w:cstheme="minorHAnsi"/>
          <w:color w:val="000000" w:themeColor="text1"/>
          <w:sz w:val="24"/>
          <w:szCs w:val="24"/>
        </w:rPr>
        <w:t>obręb</w:t>
      </w:r>
      <w:proofErr w:type="gramEnd"/>
      <w:r w:rsidRPr="00B11782">
        <w:rPr>
          <w:rFonts w:cstheme="minorHAnsi"/>
          <w:color w:val="000000" w:themeColor="text1"/>
          <w:sz w:val="24"/>
          <w:szCs w:val="24"/>
        </w:rPr>
        <w:t xml:space="preserve"> </w:t>
      </w:r>
      <w:r w:rsidR="00CE3272" w:rsidRPr="00B11782">
        <w:rPr>
          <w:rFonts w:cstheme="minorHAnsi"/>
          <w:color w:val="000000" w:themeColor="text1"/>
          <w:sz w:val="24"/>
          <w:szCs w:val="24"/>
        </w:rPr>
        <w:t>17</w:t>
      </w:r>
      <w:r w:rsidRPr="00B11782">
        <w:rPr>
          <w:rFonts w:cstheme="minorHAnsi"/>
          <w:color w:val="000000" w:themeColor="text1"/>
          <w:sz w:val="24"/>
          <w:szCs w:val="24"/>
        </w:rPr>
        <w:t xml:space="preserve"> miasto Sulejów, w ramach dofinansowania FELD.05.02-IZ.00-001</w:t>
      </w:r>
      <w:r w:rsidR="00CE3272" w:rsidRPr="00B11782">
        <w:rPr>
          <w:rFonts w:cstheme="minorHAnsi"/>
          <w:color w:val="000000" w:themeColor="text1"/>
          <w:sz w:val="24"/>
          <w:szCs w:val="24"/>
        </w:rPr>
        <w:t>8</w:t>
      </w:r>
      <w:r w:rsidRPr="00B11782">
        <w:rPr>
          <w:rFonts w:cstheme="minorHAnsi"/>
          <w:color w:val="000000" w:themeColor="text1"/>
          <w:sz w:val="24"/>
          <w:szCs w:val="24"/>
        </w:rPr>
        <w:t xml:space="preserve">/25-00 </w:t>
      </w:r>
      <w:proofErr w:type="gramStart"/>
      <w:r w:rsidRPr="00B11782">
        <w:rPr>
          <w:rFonts w:cstheme="minorHAnsi"/>
          <w:color w:val="000000" w:themeColor="text1"/>
          <w:sz w:val="24"/>
          <w:szCs w:val="24"/>
        </w:rPr>
        <w:t>współfinansowanego</w:t>
      </w:r>
      <w:proofErr w:type="gramEnd"/>
      <w:r w:rsidRPr="00B11782">
        <w:rPr>
          <w:rFonts w:cstheme="minorHAnsi"/>
          <w:color w:val="000000" w:themeColor="text1"/>
          <w:sz w:val="24"/>
          <w:szCs w:val="24"/>
        </w:rPr>
        <w:t xml:space="preserve"> ze środków Europejskiego Funduszu Rozwoju Regionalnego w</w:t>
      </w:r>
      <w:bookmarkStart w:id="0" w:name="_GoBack"/>
      <w:bookmarkEnd w:id="0"/>
      <w:r w:rsidRPr="00B11782">
        <w:rPr>
          <w:rFonts w:cstheme="minorHAnsi"/>
          <w:color w:val="000000" w:themeColor="text1"/>
          <w:sz w:val="24"/>
          <w:szCs w:val="24"/>
        </w:rPr>
        <w:t xml:space="preserve"> ramach programu regionalnego Fundusze Europejskie dla Łódzkiego 2021-2027.</w:t>
      </w:r>
      <w:r w:rsidR="005F3383" w:rsidRPr="00B11782">
        <w:rPr>
          <w:rFonts w:cstheme="minorHAnsi"/>
          <w:color w:val="EE0000"/>
          <w:sz w:val="24"/>
          <w:szCs w:val="24"/>
        </w:rPr>
        <w:t xml:space="preserve"> </w:t>
      </w:r>
      <w:r w:rsidRPr="00B11782">
        <w:rPr>
          <w:rFonts w:cstheme="minorHAnsi"/>
          <w:color w:val="000000" w:themeColor="text1"/>
          <w:sz w:val="24"/>
          <w:szCs w:val="24"/>
        </w:rPr>
        <w:t>Założenia projektowe zostały zawarte w Programie Funkcjonalno – Użytkowym</w:t>
      </w:r>
      <w:r w:rsidR="00F95853" w:rsidRPr="00B11782">
        <w:rPr>
          <w:rFonts w:cstheme="minorHAnsi"/>
          <w:color w:val="000000" w:themeColor="text1"/>
          <w:sz w:val="24"/>
          <w:szCs w:val="24"/>
        </w:rPr>
        <w:t xml:space="preserve"> (w załączeniu).</w:t>
      </w:r>
      <w:r w:rsidRPr="00B11782">
        <w:rPr>
          <w:rFonts w:cstheme="minorHAnsi"/>
          <w:color w:val="000000" w:themeColor="text1"/>
          <w:sz w:val="24"/>
          <w:szCs w:val="24"/>
        </w:rPr>
        <w:t xml:space="preserve"> Przedmiot zamówienia należy wykonać zgodnie z Programem Funkcjonalno </w:t>
      </w:r>
      <w:proofErr w:type="gramStart"/>
      <w:r w:rsidRPr="00B11782">
        <w:rPr>
          <w:rFonts w:cstheme="minorHAnsi"/>
          <w:color w:val="000000" w:themeColor="text1"/>
          <w:sz w:val="24"/>
          <w:szCs w:val="24"/>
        </w:rPr>
        <w:t>Użytkowym  oraz</w:t>
      </w:r>
      <w:proofErr w:type="gramEnd"/>
      <w:r w:rsidRPr="00B11782">
        <w:rPr>
          <w:rFonts w:cstheme="minorHAnsi"/>
          <w:color w:val="000000" w:themeColor="text1"/>
          <w:sz w:val="24"/>
          <w:szCs w:val="24"/>
        </w:rPr>
        <w:t xml:space="preserve"> na podstawie załączonej koncepcji  architektonicznej.</w:t>
      </w:r>
      <w:r w:rsidR="00A72E5F" w:rsidRPr="00B11782">
        <w:rPr>
          <w:rFonts w:cstheme="minorHAnsi"/>
          <w:color w:val="000000" w:themeColor="text1"/>
          <w:sz w:val="24"/>
          <w:szCs w:val="24"/>
        </w:rPr>
        <w:t xml:space="preserve"> Załączone zestawienie kosztów jest jedynie dokumentem pomocniczym sporządzonym na potrzeby PFU, a wykonawca musi wycenić sporządzenie dokumentacji projektowej na podstawie własnych wyliczeń w oparciu o PFU i koncepcję architektoniczną. </w:t>
      </w:r>
      <w:r w:rsidRPr="00B11782">
        <w:rPr>
          <w:rFonts w:cstheme="minorHAnsi"/>
          <w:color w:val="000000" w:themeColor="text1"/>
          <w:sz w:val="24"/>
          <w:szCs w:val="24"/>
        </w:rPr>
        <w:t xml:space="preserve"> Dopuszcza się zmiany w dokumentacji projektowej w stosunku do zapisów zawartych w PFU i wniosku aplikacyjnym, pod warunkiem koniecznym uzgodnienia ich z Zamawiającym oraz uzyskaniem przez niego zgody Instytucji Zarządzającej na wprowadzenie zmian.</w:t>
      </w:r>
    </w:p>
    <w:p w14:paraId="7127FD63" w14:textId="43C94AEC" w:rsidR="005F3383" w:rsidRPr="00B11782" w:rsidRDefault="005F3383" w:rsidP="00B11782">
      <w:pPr>
        <w:tabs>
          <w:tab w:val="left" w:pos="284"/>
          <w:tab w:val="left" w:pos="851"/>
        </w:tabs>
        <w:spacing w:after="0" w:line="276" w:lineRule="auto"/>
        <w:rPr>
          <w:rFonts w:cstheme="minorHAnsi"/>
          <w:color w:val="EE0000"/>
          <w:sz w:val="24"/>
          <w:szCs w:val="24"/>
        </w:rPr>
      </w:pPr>
      <w:r w:rsidRPr="00B11782">
        <w:rPr>
          <w:rFonts w:cstheme="minorHAnsi"/>
          <w:color w:val="000000" w:themeColor="text1"/>
          <w:sz w:val="24"/>
          <w:szCs w:val="24"/>
        </w:rPr>
        <w:t>Zadanie inwestycyjne polega na zaprojektowaniu ogólnodostępnego obiektu użyteczności publicznej</w:t>
      </w:r>
      <w:r w:rsidRPr="00B11782">
        <w:rPr>
          <w:rFonts w:cstheme="minorHAnsi"/>
          <w:color w:val="EE0000"/>
          <w:sz w:val="24"/>
          <w:szCs w:val="24"/>
        </w:rPr>
        <w:t xml:space="preserve"> </w:t>
      </w:r>
      <w:r w:rsidR="00271CD3" w:rsidRPr="00B11782">
        <w:rPr>
          <w:rFonts w:cstheme="minorHAnsi"/>
          <w:color w:val="000000" w:themeColor="text1"/>
          <w:sz w:val="24"/>
          <w:szCs w:val="24"/>
        </w:rPr>
        <w:t xml:space="preserve">budynku nowoczesnego centrum przesiadkowego, budynku toalety publicznej oraz przebudowy ul. Dworcowej z dostosowaniem do potrzeb centrum przesiadkowego </w:t>
      </w:r>
      <w:r w:rsidRPr="00B11782">
        <w:rPr>
          <w:rFonts w:cstheme="minorHAnsi"/>
          <w:color w:val="000000" w:themeColor="text1"/>
          <w:sz w:val="24"/>
          <w:szCs w:val="24"/>
        </w:rPr>
        <w:t xml:space="preserve">wraz z zagospodarowaniem terenu i niezbędną infrastrukturą techniczną. </w:t>
      </w:r>
      <w:r w:rsidR="00B14561" w:rsidRPr="00B11782">
        <w:rPr>
          <w:rFonts w:cstheme="minorHAnsi"/>
          <w:color w:val="000000" w:themeColor="text1"/>
          <w:sz w:val="24"/>
          <w:szCs w:val="24"/>
        </w:rPr>
        <w:t xml:space="preserve">W ramach infrastruktury technicznej należy zaprojektować budowę </w:t>
      </w:r>
      <w:r w:rsidR="00BC3B3C" w:rsidRPr="00B11782">
        <w:rPr>
          <w:rFonts w:cstheme="minorHAnsi"/>
          <w:color w:val="000000" w:themeColor="text1"/>
          <w:sz w:val="24"/>
          <w:szCs w:val="24"/>
        </w:rPr>
        <w:t xml:space="preserve">/ </w:t>
      </w:r>
      <w:r w:rsidR="00B14561" w:rsidRPr="00B11782">
        <w:rPr>
          <w:rFonts w:cstheme="minorHAnsi"/>
          <w:color w:val="000000" w:themeColor="text1"/>
          <w:sz w:val="24"/>
          <w:szCs w:val="24"/>
        </w:rPr>
        <w:t>przebudowę infrastruktury</w:t>
      </w:r>
      <w:r w:rsidR="00BC3B3C" w:rsidRPr="00B11782">
        <w:rPr>
          <w:rFonts w:cstheme="minorHAnsi"/>
          <w:color w:val="000000" w:themeColor="text1"/>
          <w:sz w:val="24"/>
          <w:szCs w:val="24"/>
        </w:rPr>
        <w:t xml:space="preserve"> technicznej</w:t>
      </w:r>
      <w:r w:rsidR="00B14561" w:rsidRPr="00B11782">
        <w:rPr>
          <w:rFonts w:cstheme="minorHAnsi"/>
          <w:color w:val="000000" w:themeColor="text1"/>
          <w:sz w:val="24"/>
          <w:szCs w:val="24"/>
        </w:rPr>
        <w:t xml:space="preserve"> </w:t>
      </w:r>
      <w:r w:rsidR="00BC3B3C" w:rsidRPr="00B11782">
        <w:rPr>
          <w:rFonts w:cstheme="minorHAnsi"/>
          <w:color w:val="000000" w:themeColor="text1"/>
          <w:sz w:val="24"/>
          <w:szCs w:val="24"/>
        </w:rPr>
        <w:t xml:space="preserve">wraz z przyłączami do posesji </w:t>
      </w:r>
      <w:r w:rsidR="009F009C" w:rsidRPr="00B11782">
        <w:rPr>
          <w:rFonts w:cstheme="minorHAnsi"/>
          <w:color w:val="000000" w:themeColor="text1"/>
          <w:sz w:val="24"/>
          <w:szCs w:val="24"/>
        </w:rPr>
        <w:t xml:space="preserve">znajdujących się </w:t>
      </w:r>
      <w:r w:rsidR="00BC3B3C" w:rsidRPr="00B11782">
        <w:rPr>
          <w:rFonts w:cstheme="minorHAnsi"/>
          <w:color w:val="000000" w:themeColor="text1"/>
          <w:sz w:val="24"/>
          <w:szCs w:val="24"/>
        </w:rPr>
        <w:t xml:space="preserve">w obrębie terenu rewitalizowanego </w:t>
      </w:r>
      <w:r w:rsidR="00B14561" w:rsidRPr="00B11782">
        <w:rPr>
          <w:rFonts w:cstheme="minorHAnsi"/>
          <w:color w:val="000000" w:themeColor="text1"/>
          <w:sz w:val="24"/>
          <w:szCs w:val="24"/>
        </w:rPr>
        <w:t>w uzgodnieniu z zarządcami sieci</w:t>
      </w:r>
      <w:r w:rsidR="00BC3B3C" w:rsidRPr="00B11782">
        <w:rPr>
          <w:rFonts w:cstheme="minorHAnsi"/>
          <w:color w:val="000000" w:themeColor="text1"/>
          <w:sz w:val="24"/>
          <w:szCs w:val="24"/>
        </w:rPr>
        <w:t>.</w:t>
      </w:r>
      <w:r w:rsidR="00CE3272" w:rsidRPr="00B11782">
        <w:rPr>
          <w:rFonts w:cstheme="minorHAnsi"/>
          <w:color w:val="000000" w:themeColor="text1"/>
          <w:sz w:val="24"/>
          <w:szCs w:val="24"/>
        </w:rPr>
        <w:t xml:space="preserve"> </w:t>
      </w:r>
      <w:r w:rsidR="00464C31" w:rsidRPr="00B11782">
        <w:rPr>
          <w:rFonts w:cstheme="minorHAnsi"/>
          <w:color w:val="000000" w:themeColor="text1"/>
          <w:sz w:val="24"/>
          <w:szCs w:val="24"/>
        </w:rPr>
        <w:t>W związku z lokalizacją ul. Dworcowej między dwiema drogami krajowymi DK 12 i DK 74, organizację ruchu dla centrum przesiadkowego należy zaprojektować w uzgodnieniu z GDDKiA.</w:t>
      </w:r>
    </w:p>
    <w:p w14:paraId="7F9BC556" w14:textId="768A95BE" w:rsidR="00451143" w:rsidRPr="00B11782" w:rsidRDefault="00451143" w:rsidP="00B11782">
      <w:pPr>
        <w:tabs>
          <w:tab w:val="left" w:pos="284"/>
        </w:tabs>
        <w:spacing w:after="0" w:line="276" w:lineRule="auto"/>
        <w:rPr>
          <w:rFonts w:cstheme="minorHAnsi"/>
          <w:color w:val="EE0000"/>
          <w:sz w:val="24"/>
          <w:szCs w:val="24"/>
        </w:rPr>
      </w:pPr>
      <w:r w:rsidRPr="00B11782">
        <w:rPr>
          <w:rFonts w:cstheme="minorHAnsi"/>
          <w:color w:val="000000" w:themeColor="text1"/>
          <w:sz w:val="24"/>
          <w:szCs w:val="24"/>
        </w:rPr>
        <w:t>Wymagania niezbędne do zastosowania w dokumentacji projektowej wynikające z dokumentacji aplikacyjnej:</w:t>
      </w:r>
    </w:p>
    <w:p w14:paraId="4947A87B" w14:textId="67049057" w:rsidR="00727628" w:rsidRPr="00B11782" w:rsidRDefault="00727628" w:rsidP="00B11782">
      <w:pPr>
        <w:tabs>
          <w:tab w:val="left" w:pos="284"/>
        </w:tabs>
        <w:spacing w:after="0" w:line="276" w:lineRule="auto"/>
        <w:rPr>
          <w:rFonts w:cstheme="minorHAnsi"/>
          <w:b/>
          <w:bCs/>
          <w:color w:val="000000" w:themeColor="text1"/>
          <w:sz w:val="24"/>
          <w:szCs w:val="24"/>
          <w:u w:val="single"/>
        </w:rPr>
      </w:pPr>
      <w:r w:rsidRPr="00B11782">
        <w:rPr>
          <w:rFonts w:cstheme="minorHAnsi"/>
          <w:b/>
          <w:bCs/>
          <w:color w:val="000000" w:themeColor="text1"/>
          <w:sz w:val="24"/>
          <w:szCs w:val="24"/>
          <w:u w:val="single"/>
        </w:rPr>
        <w:t>Kluczowe działania zapewniające zgodność z zasadą równości szans</w:t>
      </w:r>
    </w:p>
    <w:p w14:paraId="678DE1CF" w14:textId="267BA995"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1. Uniwersalne projektowanie:</w:t>
      </w:r>
    </w:p>
    <w:p w14:paraId="491CBEBB"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Wszystkie elementy infrastruktury, zarówno wewnętrzne, jak i zewnętrzne, zostaną zaprojektowane z myślą o dostępności dla wszystkich użytkowników, bez konieczności adaptacji lub dodatkowych rozwiązań. W przestrzeni miejskiego centrum przesiadkowego należy uwzględnić m.in. brak progów, szerokie przejścia oraz podjazdy dostosowane do wózków inwalidzkich.</w:t>
      </w:r>
    </w:p>
    <w:p w14:paraId="6ECDE16D"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2. Dostępność infrastruktury komunikacyjnej:</w:t>
      </w:r>
    </w:p>
    <w:p w14:paraId="6B4DF61A"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W projekcie należy przewidzieć wyraźne oznaczenia, ułatwienia wizualne i dźwiękowe dla osób z niepełnosprawnościami sensorycznymi, takie jak systemy oznaczeń dotykowych i kontrastowe elementy przestrzeni. Zatoki autobusowe oraz chodniki należy zaprojektować z uwzględnieniem wygodnego i bezpiecznego korzystania przez osoby starsze i osoby o ograniczonej mobilności.</w:t>
      </w:r>
    </w:p>
    <w:p w14:paraId="28E725AE"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3. Funkcjonalne rozwiązania wewnątrz obiektu:</w:t>
      </w:r>
    </w:p>
    <w:p w14:paraId="469D3CC8"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Budynek centrum przesiadkowego wyposażony będzie w toalety, odpowiednio dostosowane do potrzeb osób z niepełnosprawnościami, z uwzględnieniem przestrzeni manewrowej i specjalistycznego wyposażenia (np. poręcze, systemy wspomagające). Umieszczono windy oraz oznaczenia ułatwiające poruszanie się w budynku, co umożliwia pełen dostęp do wszystkich pomieszczeń.</w:t>
      </w:r>
    </w:p>
    <w:p w14:paraId="1931A3D1"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4. Promowanie równości w dostępie do usług publicznych:</w:t>
      </w:r>
    </w:p>
    <w:p w14:paraId="206656A1"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Projekt został opracowany w sposób neutralny płciowo, </w:t>
      </w:r>
      <w:proofErr w:type="gramStart"/>
      <w:r w:rsidRPr="00B11782">
        <w:rPr>
          <w:rFonts w:cstheme="minorHAnsi"/>
          <w:color w:val="000000" w:themeColor="text1"/>
          <w:sz w:val="24"/>
          <w:szCs w:val="24"/>
        </w:rPr>
        <w:t>tak aby</w:t>
      </w:r>
      <w:proofErr w:type="gramEnd"/>
      <w:r w:rsidRPr="00B11782">
        <w:rPr>
          <w:rFonts w:cstheme="minorHAnsi"/>
          <w:color w:val="000000" w:themeColor="text1"/>
          <w:sz w:val="24"/>
          <w:szCs w:val="24"/>
        </w:rPr>
        <w:t xml:space="preserve"> zarówno kobiety, jak i mężczyźni mieli równy dostęp do oferowanych usług. Uwzględniono potrzeby rodzin z dziećmi, poprzez zaprojektowanie przestrzeni przyjaznych i funkcjonalnych.</w:t>
      </w:r>
    </w:p>
    <w:p w14:paraId="11161FD4" w14:textId="77777777" w:rsidR="00727628" w:rsidRPr="00B11782" w:rsidRDefault="00727628" w:rsidP="00B11782">
      <w:pPr>
        <w:tabs>
          <w:tab w:val="left" w:pos="284"/>
        </w:tabs>
        <w:spacing w:after="0" w:line="276" w:lineRule="auto"/>
        <w:rPr>
          <w:rFonts w:cstheme="minorHAnsi"/>
          <w:color w:val="000000" w:themeColor="text1"/>
          <w:sz w:val="24"/>
          <w:szCs w:val="24"/>
          <w:u w:val="single"/>
        </w:rPr>
      </w:pPr>
      <w:r w:rsidRPr="00B11782">
        <w:rPr>
          <w:rFonts w:cstheme="minorHAnsi"/>
          <w:color w:val="000000" w:themeColor="text1"/>
          <w:sz w:val="24"/>
          <w:szCs w:val="24"/>
          <w:u w:val="single"/>
        </w:rPr>
        <w:t>Działania w zakresie eliminacji barier informacyjnych:</w:t>
      </w:r>
    </w:p>
    <w:p w14:paraId="18CFCA7B"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1. Systemy informacji wizualnej i dźwiękowej:</w:t>
      </w:r>
    </w:p>
    <w:p w14:paraId="76978894"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Instalacja czytelnych tablic informacyjnych o wysokim kontraście oraz oznaczeń dostosowanych do potrzeb osób słabowidzących. Oznakowanie przestrzeni zgodnie z zasadami uniwersalnego projektowania – umiejscowienie wyraźnych kierunkowskazów i opisów funkcji poszczególnych stref.</w:t>
      </w:r>
    </w:p>
    <w:p w14:paraId="2E5F82F0"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System informacji dźwiękowej – przewidziane są komunikaty głosowe na przystankach i w budynku centrum przesiadkowego.</w:t>
      </w:r>
    </w:p>
    <w:p w14:paraId="212EFDB1"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2. Dostosowanie infrastruktury do potrzeb osób z niepełnosprawnościami sensorycznymi:</w:t>
      </w:r>
    </w:p>
    <w:p w14:paraId="22C7343D"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Oznaczenia w alfabecie Braille’a w kluczowych miejscach obiektu. Pętle indukcyjne dla osób niedosłyszących w punktach obsługi pasażerów.</w:t>
      </w:r>
    </w:p>
    <w:p w14:paraId="4F2BBFD5"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3. Rozwiązania cyfrowe wspierające dostęp do informacji:</w:t>
      </w:r>
    </w:p>
    <w:p w14:paraId="5C6B26A5"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Ekrany informacji pasażerskiej, które będą wyświetlały aktualne rozkłady jazdy i komunikaty. Strona internetowa oraz aplikacja mobilna – zgodne ze standardem WCAG 2.2, </w:t>
      </w:r>
      <w:proofErr w:type="gramStart"/>
      <w:r w:rsidRPr="00B11782">
        <w:rPr>
          <w:rFonts w:cstheme="minorHAnsi"/>
          <w:color w:val="000000" w:themeColor="text1"/>
          <w:sz w:val="24"/>
          <w:szCs w:val="24"/>
        </w:rPr>
        <w:t>umożliwiające</w:t>
      </w:r>
      <w:proofErr w:type="gramEnd"/>
      <w:r w:rsidRPr="00B11782">
        <w:rPr>
          <w:rFonts w:cstheme="minorHAnsi"/>
          <w:color w:val="000000" w:themeColor="text1"/>
          <w:sz w:val="24"/>
          <w:szCs w:val="24"/>
        </w:rPr>
        <w:t xml:space="preserve"> dostęp do informacji w formie </w:t>
      </w:r>
      <w:proofErr w:type="spellStart"/>
      <w:r w:rsidRPr="00B11782">
        <w:rPr>
          <w:rFonts w:cstheme="minorHAnsi"/>
          <w:color w:val="000000" w:themeColor="text1"/>
          <w:sz w:val="24"/>
          <w:szCs w:val="24"/>
        </w:rPr>
        <w:t>audiodeskrypcji</w:t>
      </w:r>
      <w:proofErr w:type="spellEnd"/>
      <w:r w:rsidRPr="00B11782">
        <w:rPr>
          <w:rFonts w:cstheme="minorHAnsi"/>
          <w:color w:val="000000" w:themeColor="text1"/>
          <w:sz w:val="24"/>
          <w:szCs w:val="24"/>
        </w:rPr>
        <w:t xml:space="preserve"> oraz łatwego tekstu. System kodów QR na tablicach informacyjnych, przekierowujących do wersji głosowej komunikatów. Dzięki powyższym rozwiązaniom projekt zapewni pełną dostępność informacji, eliminując bariery komunikacyjne i informacyjne dla osób z niepełnosprawnościami, seniorów oraz wszystkich użytkowników miejskiego centrum</w:t>
      </w:r>
    </w:p>
    <w:p w14:paraId="15B660BC" w14:textId="77777777" w:rsidR="00727628" w:rsidRPr="00B11782" w:rsidRDefault="00727628" w:rsidP="00B11782">
      <w:pPr>
        <w:tabs>
          <w:tab w:val="left" w:pos="284"/>
        </w:tabs>
        <w:spacing w:after="0" w:line="276" w:lineRule="auto"/>
        <w:rPr>
          <w:rFonts w:cstheme="minorHAnsi"/>
          <w:color w:val="000000" w:themeColor="text1"/>
          <w:sz w:val="24"/>
          <w:szCs w:val="24"/>
        </w:rPr>
      </w:pPr>
      <w:proofErr w:type="gramStart"/>
      <w:r w:rsidRPr="00B11782">
        <w:rPr>
          <w:rFonts w:cstheme="minorHAnsi"/>
          <w:color w:val="000000" w:themeColor="text1"/>
          <w:sz w:val="24"/>
          <w:szCs w:val="24"/>
        </w:rPr>
        <w:t>przesiadkowego</w:t>
      </w:r>
      <w:proofErr w:type="gramEnd"/>
      <w:r w:rsidRPr="00B11782">
        <w:rPr>
          <w:rFonts w:cstheme="minorHAnsi"/>
          <w:color w:val="000000" w:themeColor="text1"/>
          <w:sz w:val="24"/>
          <w:szCs w:val="24"/>
        </w:rPr>
        <w:t>.</w:t>
      </w:r>
    </w:p>
    <w:p w14:paraId="10A9C924" w14:textId="77777777" w:rsidR="00727628" w:rsidRPr="00B11782" w:rsidRDefault="00727628"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Realizacja projektu ma skutkować zniesieniem barier architektonicznych, funkcjonalnych i informacyjnych, a także zapewnić osobom z niepełnosprawnościami pełny dostęp do infrastruktury. </w:t>
      </w:r>
    </w:p>
    <w:p w14:paraId="617219E8" w14:textId="77777777" w:rsidR="004515F0" w:rsidRPr="00B11782" w:rsidRDefault="004515F0" w:rsidP="00B11782">
      <w:pPr>
        <w:tabs>
          <w:tab w:val="left" w:pos="284"/>
        </w:tabs>
        <w:spacing w:after="0" w:line="276" w:lineRule="auto"/>
        <w:rPr>
          <w:rFonts w:cstheme="minorHAnsi"/>
          <w:b/>
          <w:bCs/>
          <w:color w:val="000000" w:themeColor="text1"/>
          <w:sz w:val="24"/>
          <w:szCs w:val="24"/>
          <w:u w:val="single"/>
        </w:rPr>
      </w:pPr>
      <w:r w:rsidRPr="00B11782">
        <w:rPr>
          <w:rFonts w:cstheme="minorHAnsi"/>
          <w:b/>
          <w:bCs/>
          <w:color w:val="000000" w:themeColor="text1"/>
          <w:sz w:val="24"/>
          <w:szCs w:val="24"/>
          <w:u w:val="single"/>
        </w:rPr>
        <w:t>Zielone zamówienia</w:t>
      </w:r>
    </w:p>
    <w:p w14:paraId="7158B60A" w14:textId="77777777" w:rsidR="004515F0" w:rsidRPr="00B11782" w:rsidRDefault="004515F0"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W projekcie planuje się zastosowanie zielonych zamówień. Realizacja tego założenia polega na uwzględnieniu kryteriów ekologicznych na etapie przygotowania i przeprowadzania procedur przetargowych, zgodnie z ideą zrównoważonego rozwoju i minimalizowania wpływu inwestycji na środowisko. W ramach zielonych zamówień w projekcie zastosowane zostaną następujące działania: </w:t>
      </w:r>
    </w:p>
    <w:p w14:paraId="734C98E3" w14:textId="77777777" w:rsidR="004515F0" w:rsidRPr="00B11782" w:rsidRDefault="004515F0" w:rsidP="00B11782">
      <w:pPr>
        <w:pStyle w:val="Akapitzlist"/>
        <w:numPr>
          <w:ilvl w:val="0"/>
          <w:numId w:val="3"/>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 xml:space="preserve">Uwzględnienie całego cyklu życia produktów: </w:t>
      </w:r>
    </w:p>
    <w:p w14:paraId="5C923506" w14:textId="77777777" w:rsidR="004515F0" w:rsidRPr="00B11782" w:rsidRDefault="004515F0"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Przy wyborze materiałów budowlanych, urządzeń i technologii priorytetowo traktowane będą rozwiązania charakteryzujące się niską emisyjnością, wysoką efektywnością energetyczną oraz możliwością recyklingu po zakończeniu cyklu ich użytkowania</w:t>
      </w:r>
    </w:p>
    <w:p w14:paraId="70090B0E" w14:textId="77777777" w:rsidR="004515F0" w:rsidRPr="00B11782" w:rsidRDefault="004515F0" w:rsidP="00B11782">
      <w:pPr>
        <w:pStyle w:val="Akapitzlist"/>
        <w:numPr>
          <w:ilvl w:val="0"/>
          <w:numId w:val="3"/>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 xml:space="preserve">Energooszczędność: </w:t>
      </w:r>
    </w:p>
    <w:p w14:paraId="25FA1D29" w14:textId="77777777" w:rsidR="004515F0" w:rsidRPr="00B11782" w:rsidRDefault="004515F0"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W projektowanej infrastrukturze wykorzystane zostaną energooszczędne systemy oświetleniowe, np. lampy LED, oraz nowoczesne systemy zarządzania energią, co przyczyni się do ograniczenia zużycia energii.</w:t>
      </w:r>
    </w:p>
    <w:p w14:paraId="073D7827" w14:textId="77777777" w:rsidR="004515F0" w:rsidRPr="00B11782" w:rsidRDefault="004515F0" w:rsidP="00B11782">
      <w:pPr>
        <w:pStyle w:val="Akapitzlist"/>
        <w:numPr>
          <w:ilvl w:val="0"/>
          <w:numId w:val="3"/>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 xml:space="preserve">Zastosowanie odnawialnych źródeł energii: </w:t>
      </w:r>
    </w:p>
    <w:p w14:paraId="5C3723DE" w14:textId="77777777" w:rsidR="004515F0" w:rsidRPr="00B11782" w:rsidRDefault="004515F0"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Przewidziano instalację paneli fotowoltaicznych, które umożliwią wytwarzanie energii elektrycznej z odnawialnych źródeł, zmniejszając uzależnienie od tradycyjnych paliw kopalnych.</w:t>
      </w:r>
    </w:p>
    <w:p w14:paraId="4A67E23A" w14:textId="77777777" w:rsidR="004515F0" w:rsidRPr="00B11782" w:rsidRDefault="004515F0" w:rsidP="00B11782">
      <w:pPr>
        <w:pStyle w:val="Akapitzlist"/>
        <w:numPr>
          <w:ilvl w:val="0"/>
          <w:numId w:val="3"/>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 xml:space="preserve">Zrównoważone materiały budowlane: </w:t>
      </w:r>
    </w:p>
    <w:p w14:paraId="0E5E981A" w14:textId="77777777" w:rsidR="004515F0" w:rsidRPr="00B11782" w:rsidRDefault="004515F0"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 xml:space="preserve">Kryteria zamówień obejmą preferencję dla materiałów niskoemisyjnych oraz produkowanych w sposób zrównoważony, co ograniczy ślad węglowy związany z realizacją projektu. </w:t>
      </w:r>
    </w:p>
    <w:p w14:paraId="5DFDC66E" w14:textId="77777777" w:rsidR="004515F0" w:rsidRPr="00B11782" w:rsidRDefault="004515F0" w:rsidP="00B11782">
      <w:pPr>
        <w:pStyle w:val="Akapitzlist"/>
        <w:numPr>
          <w:ilvl w:val="0"/>
          <w:numId w:val="3"/>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 xml:space="preserve">Zarządzanie odpadami: </w:t>
      </w:r>
    </w:p>
    <w:p w14:paraId="6BB25182" w14:textId="77777777" w:rsidR="004515F0" w:rsidRPr="00B11782" w:rsidRDefault="004515F0"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 xml:space="preserve">Procedury zamówień uwzględnią wymagania dotyczące gospodarki odpadami, w tym obowiązek recyklingu odpadów budowlanych oraz ograniczenie ich ilości generowanej podczas realizacji projektu. </w:t>
      </w:r>
    </w:p>
    <w:p w14:paraId="412B8A5D" w14:textId="77777777" w:rsidR="00A91654" w:rsidRPr="00B11782" w:rsidRDefault="00A91654" w:rsidP="00B11782">
      <w:pPr>
        <w:tabs>
          <w:tab w:val="left" w:pos="284"/>
        </w:tabs>
        <w:spacing w:after="0" w:line="276" w:lineRule="auto"/>
        <w:rPr>
          <w:rFonts w:cstheme="minorHAnsi"/>
          <w:b/>
          <w:bCs/>
          <w:color w:val="000000" w:themeColor="text1"/>
          <w:sz w:val="24"/>
          <w:szCs w:val="24"/>
          <w:u w:val="single"/>
        </w:rPr>
      </w:pPr>
      <w:r w:rsidRPr="00B11782">
        <w:rPr>
          <w:rFonts w:cstheme="minorHAnsi"/>
          <w:b/>
          <w:bCs/>
          <w:color w:val="000000" w:themeColor="text1"/>
          <w:sz w:val="24"/>
          <w:szCs w:val="24"/>
          <w:u w:val="single"/>
        </w:rPr>
        <w:t>Zielona infrastruktura:</w:t>
      </w:r>
    </w:p>
    <w:p w14:paraId="3E67E1E2"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W projekcie należy przewidzieć zastosowanie nawierzchni przepuszczalnych w miarę możliwości, co pozwala na zmniejszenie powierzchni uszczelnionych. Do budowy chodników, ciągów pieszych oraz zatoki autobusowej zostaną wykorzystane ekologiczne materiały, takie jak kostka brukowa o dużej przepuszczalności lub inne systemy umożliwiające wsiąkanie wody opadowej do gruntu. Działanie to przyczyni się do poprawy retencji wód opadowych, ograniczenia zjawiska miejskiej wyspy ciepła oraz zwiększenia naturalnej absorpcji wody przez glebę.</w:t>
      </w:r>
    </w:p>
    <w:p w14:paraId="32517B9C"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W ramach projektu zaplanowano nowe nasadzenia drzew, krzewów i roślinności niskiej, które będą dostosowane do lokalnych warunków klimatyczno-glebowych. Wybrane gatunki roślin będą charakteryzowały się wysoką odpornością na zmienne warunki atmosferyczne oraz niskimi wymaganiami pielęgnacyjnymi, co zwiększy ich trwałość i ograniczy koszty utrzymania. Wszystkie działania budowlane będą realizowane z zachowaniem odpowiednich procedur ochrony zieleni.</w:t>
      </w:r>
    </w:p>
    <w:p w14:paraId="7AFFE7B6"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 xml:space="preserve">Projekt zakłada harmonijne połączenie infrastruktury. Rewitalizowane tereny zielone zostaną wkomponowane w układ przestrzenny obiektu, tworząc przyjazne, estetyczne i funkcjonalne przestrzenie dla mieszkańców i turystów. Zieleń będzie pełniła funkcje ekologiczne, rekreacyjne i estetyczne, jednocześnie </w:t>
      </w:r>
      <w:proofErr w:type="gramStart"/>
      <w:r w:rsidRPr="00B11782">
        <w:rPr>
          <w:rFonts w:cstheme="minorHAnsi"/>
          <w:color w:val="000000" w:themeColor="text1"/>
          <w:sz w:val="24"/>
          <w:szCs w:val="24"/>
        </w:rPr>
        <w:t>poprawiając jakość</w:t>
      </w:r>
      <w:proofErr w:type="gramEnd"/>
      <w:r w:rsidRPr="00B11782">
        <w:rPr>
          <w:rFonts w:cstheme="minorHAnsi"/>
          <w:color w:val="000000" w:themeColor="text1"/>
          <w:sz w:val="24"/>
          <w:szCs w:val="24"/>
        </w:rPr>
        <w:t xml:space="preserve"> powietrza i ograniczając hałas. Projekt został zaplanowany w sposób uwzględniający ochronę i rozwój terenów zielonych. Działania w zakresie zmniejszenia powierzchni uszczelnionych, ochrony istniejących drzew i krzewów oraz tworzenia nowych nasadzeń przyczynią się do poprawy warunków środowiskowych, estetyki krajobrazu oraz jakości życia mieszkańców. Dzięki zastosowaniu standardów ochrony drzew i ekologicznych rozwiązań infrastrukturalnych, projekt wpisuje się w ideę zrównoważonego rozwoju i zielonej infrastruktury.</w:t>
      </w:r>
    </w:p>
    <w:p w14:paraId="46691B5E" w14:textId="77777777" w:rsidR="00A91654" w:rsidRPr="00B11782" w:rsidRDefault="00A91654" w:rsidP="00B11782">
      <w:pPr>
        <w:tabs>
          <w:tab w:val="left" w:pos="284"/>
        </w:tabs>
        <w:spacing w:after="0" w:line="276" w:lineRule="auto"/>
        <w:rPr>
          <w:rFonts w:cstheme="minorHAnsi"/>
          <w:b/>
          <w:bCs/>
          <w:color w:val="000000" w:themeColor="text1"/>
          <w:sz w:val="24"/>
          <w:szCs w:val="24"/>
          <w:u w:val="single"/>
        </w:rPr>
      </w:pPr>
      <w:r w:rsidRPr="00B11782">
        <w:rPr>
          <w:rFonts w:cstheme="minorHAnsi"/>
          <w:b/>
          <w:bCs/>
          <w:color w:val="000000" w:themeColor="text1"/>
          <w:sz w:val="24"/>
          <w:szCs w:val="24"/>
          <w:u w:val="single"/>
        </w:rPr>
        <w:t>Nowoczesne technologie i innowacje:</w:t>
      </w:r>
    </w:p>
    <w:p w14:paraId="494BAE81"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Projekt obejmuje wdrożenie technologii wspierających koncepcję Smart City. Rozwiązania te skupiają się na poprawie zarządzania przestrzenią publiczną, bezpieczeństwie użytkowników oraz zapewnieniu funkcjonalności i zrównoważonego rozwoju.</w:t>
      </w:r>
    </w:p>
    <w:p w14:paraId="77725E08" w14:textId="77777777" w:rsidR="00A91654" w:rsidRPr="00B11782" w:rsidRDefault="00A91654" w:rsidP="00B11782">
      <w:pPr>
        <w:pStyle w:val="Akapitzlist"/>
        <w:numPr>
          <w:ilvl w:val="0"/>
          <w:numId w:val="4"/>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System monitoringu wizyjnego (CCTV)</w:t>
      </w:r>
    </w:p>
    <w:p w14:paraId="798E4A92" w14:textId="77777777" w:rsidR="00A91654" w:rsidRPr="00B11782" w:rsidRDefault="00A91654"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Instalacja systemu telewizji dozorowej (CCTV) w obrębie centrum przesiadkowego. Nowoczesny monitoring wizyjny zapewni bezpieczeństwo użytkowników obiektu, zapobiegając aktom wandalizmu oraz poprawiając ogólną kontrolę nad przestrzenią. System CCTV będzie zgodny z normami interoperacyjności i zapewni możliwość integracji z innymi systemami monitoringu w gminie. Wszystkie wdrażane systemy teleinformatyczne będą spełniać wymagania wynikające z Rozporządzenia Rady Ministrów z dnia 12 kwietnia 2012 r. w sprawie Krajowych Ram Interoperacyjności oraz minimalnych wymagań dla rejestrów publicznych i wymiany informacji w postaci elektronicznej. Zapewniona zostanie interoperacyjność wdrażanych systemów, co umożliwi ich współpracę z innymi rejestrami publicznymi, bez dublowania funkcjonalności przewidzianych w powiązanych systemach.</w:t>
      </w:r>
    </w:p>
    <w:p w14:paraId="62CFB202" w14:textId="77777777" w:rsidR="00A91654" w:rsidRPr="00B11782" w:rsidRDefault="00A91654" w:rsidP="00B11782">
      <w:pPr>
        <w:pStyle w:val="Akapitzlist"/>
        <w:numPr>
          <w:ilvl w:val="0"/>
          <w:numId w:val="4"/>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Zarządzanie oświetleniem</w:t>
      </w:r>
    </w:p>
    <w:p w14:paraId="54ECD104" w14:textId="77777777" w:rsidR="00A91654" w:rsidRPr="00B11782" w:rsidRDefault="00A91654"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Zastosowanie nowoczesnych systemów oświetleniowych poprawiających efektywność energetyczną: Instalacja energooszczędnych lamp ulicznych i oświetlenia obiektu. Możliwość zintegrowania oświetlenia z systemami zarządzania obiektem w celu optymalizacji zużycia energii.</w:t>
      </w:r>
    </w:p>
    <w:p w14:paraId="1C1B5B93" w14:textId="77777777" w:rsidR="00A91654" w:rsidRPr="00B11782" w:rsidRDefault="00A91654" w:rsidP="00B11782">
      <w:pPr>
        <w:pStyle w:val="Akapitzlist"/>
        <w:numPr>
          <w:ilvl w:val="0"/>
          <w:numId w:val="4"/>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Nowoczesne instalacje elektryczne i teletechniczne</w:t>
      </w:r>
    </w:p>
    <w:p w14:paraId="6094D710" w14:textId="77777777" w:rsidR="00A91654" w:rsidRPr="00B11782" w:rsidRDefault="00A91654" w:rsidP="00B11782">
      <w:pPr>
        <w:pStyle w:val="Akapitzlist"/>
        <w:tabs>
          <w:tab w:val="left" w:pos="284"/>
        </w:tabs>
        <w:spacing w:after="0" w:line="276" w:lineRule="auto"/>
        <w:ind w:left="0"/>
        <w:rPr>
          <w:rFonts w:cstheme="minorHAnsi"/>
          <w:color w:val="000000" w:themeColor="text1"/>
          <w:sz w:val="24"/>
          <w:szCs w:val="24"/>
        </w:rPr>
      </w:pPr>
      <w:r w:rsidRPr="00B11782">
        <w:rPr>
          <w:rFonts w:cstheme="minorHAnsi"/>
          <w:color w:val="000000" w:themeColor="text1"/>
          <w:sz w:val="24"/>
          <w:szCs w:val="24"/>
        </w:rPr>
        <w:t xml:space="preserve">Projekt przewiduje budowę nowych instalacji elektrycznych i teletechnicznych w ramach: Rozbudowy i modernizacji budynków. Infrastruktura teletechniczna zapewni możliwość zintegrowanego zarządzania obiektem. </w:t>
      </w:r>
    </w:p>
    <w:p w14:paraId="490B77A6"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Projekt uwzględnia elementy związane z ochroną środowiska i efektywnością energetyczną, które są zgodne z ideą Smart City: instalacje fotowoltaiczne - zapewnią wykorzystanie odnawialnych źródeł energii w budynku centrum przesiadkowego. Zmniejszą emisję dwutlenku węgla, co wpisuje się w politykę zrównoważonego rozwoju.</w:t>
      </w:r>
    </w:p>
    <w:p w14:paraId="57F9F84A" w14:textId="77777777" w:rsidR="00A91654" w:rsidRPr="00B11782" w:rsidRDefault="00A91654" w:rsidP="00B11782">
      <w:pPr>
        <w:tabs>
          <w:tab w:val="left" w:pos="284"/>
        </w:tabs>
        <w:spacing w:after="0" w:line="276" w:lineRule="auto"/>
        <w:rPr>
          <w:rFonts w:cstheme="minorHAnsi"/>
          <w:color w:val="000000" w:themeColor="text1"/>
          <w:sz w:val="24"/>
          <w:szCs w:val="24"/>
        </w:rPr>
      </w:pPr>
      <w:r w:rsidRPr="00B11782">
        <w:rPr>
          <w:rFonts w:cstheme="minorHAnsi"/>
          <w:color w:val="000000" w:themeColor="text1"/>
          <w:sz w:val="24"/>
          <w:szCs w:val="24"/>
        </w:rPr>
        <w:t>Projekt rewitalizacji uwzględnia kluczowe elementy Smart City, takie jak:</w:t>
      </w:r>
    </w:p>
    <w:p w14:paraId="2BB718AF" w14:textId="77777777" w:rsidR="00A91654" w:rsidRPr="00B11782" w:rsidRDefault="00A91654" w:rsidP="00B11782">
      <w:pPr>
        <w:pStyle w:val="Akapitzlist"/>
        <w:numPr>
          <w:ilvl w:val="0"/>
          <w:numId w:val="5"/>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Bezpieczeństwo poprzez system CCTV i efektywne zarządzanie przestrzenią publiczną.</w:t>
      </w:r>
    </w:p>
    <w:p w14:paraId="2A3AB756" w14:textId="77777777" w:rsidR="00A91654" w:rsidRPr="00B11782" w:rsidRDefault="00A91654" w:rsidP="00B11782">
      <w:pPr>
        <w:pStyle w:val="Akapitzlist"/>
        <w:numPr>
          <w:ilvl w:val="0"/>
          <w:numId w:val="5"/>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Efektywność energetyczna dzięki instalacjom fotowoltaicznym i nowoczesnym systemom oświetleniowym.</w:t>
      </w:r>
    </w:p>
    <w:p w14:paraId="299815D7" w14:textId="77777777" w:rsidR="00A91654" w:rsidRPr="00B11782" w:rsidRDefault="00A91654" w:rsidP="00B11782">
      <w:pPr>
        <w:pStyle w:val="Akapitzlist"/>
        <w:numPr>
          <w:ilvl w:val="0"/>
          <w:numId w:val="5"/>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Dostosowanie infrastruktury do potrzeb mieszkańców, w tym osób z niepełnosprawnościami.</w:t>
      </w:r>
    </w:p>
    <w:p w14:paraId="4A8AAA67" w14:textId="77777777" w:rsidR="00A91654" w:rsidRPr="00B11782" w:rsidRDefault="00A91654" w:rsidP="00B11782">
      <w:pPr>
        <w:pStyle w:val="Akapitzlist"/>
        <w:numPr>
          <w:ilvl w:val="0"/>
          <w:numId w:val="5"/>
        </w:numPr>
        <w:tabs>
          <w:tab w:val="left" w:pos="284"/>
        </w:tabs>
        <w:spacing w:after="0" w:line="276" w:lineRule="auto"/>
        <w:ind w:left="0" w:firstLine="0"/>
        <w:rPr>
          <w:rFonts w:cstheme="minorHAnsi"/>
          <w:color w:val="000000" w:themeColor="text1"/>
          <w:sz w:val="24"/>
          <w:szCs w:val="24"/>
        </w:rPr>
      </w:pPr>
      <w:r w:rsidRPr="00B11782">
        <w:rPr>
          <w:rFonts w:cstheme="minorHAnsi"/>
          <w:color w:val="000000" w:themeColor="text1"/>
          <w:sz w:val="24"/>
          <w:szCs w:val="24"/>
        </w:rPr>
        <w:t>Promowanie ekologicznego transportu i zrównoważonego zarządzania zasobami.</w:t>
      </w:r>
    </w:p>
    <w:p w14:paraId="1E3C2320" w14:textId="2F17DAA4" w:rsidR="007D79FB" w:rsidRDefault="007D79FB" w:rsidP="00B11782">
      <w:pPr>
        <w:pStyle w:val="Akapitzlist"/>
        <w:tabs>
          <w:tab w:val="left" w:pos="284"/>
        </w:tabs>
        <w:spacing w:after="0" w:line="276" w:lineRule="auto"/>
        <w:ind w:left="0"/>
        <w:rPr>
          <w:rFonts w:cstheme="minorHAnsi"/>
          <w:color w:val="EE0000"/>
          <w:sz w:val="24"/>
          <w:szCs w:val="24"/>
        </w:rPr>
      </w:pPr>
    </w:p>
    <w:p w14:paraId="15AA1405" w14:textId="77777777" w:rsidR="00B11782" w:rsidRDefault="00B11782" w:rsidP="00B11782">
      <w:pPr>
        <w:pStyle w:val="Akapitzlist"/>
        <w:tabs>
          <w:tab w:val="left" w:pos="284"/>
        </w:tabs>
        <w:spacing w:after="0" w:line="276" w:lineRule="auto"/>
        <w:ind w:left="0"/>
        <w:rPr>
          <w:rFonts w:cstheme="minorHAnsi"/>
          <w:color w:val="EE0000"/>
          <w:sz w:val="24"/>
          <w:szCs w:val="24"/>
        </w:rPr>
      </w:pPr>
    </w:p>
    <w:p w14:paraId="6DF8A2CD" w14:textId="77777777" w:rsidR="00B11782" w:rsidRPr="0025774A" w:rsidRDefault="00B11782" w:rsidP="00B11782">
      <w:pPr>
        <w:tabs>
          <w:tab w:val="left" w:pos="284"/>
          <w:tab w:val="left" w:pos="426"/>
        </w:tabs>
        <w:spacing w:after="0" w:line="276" w:lineRule="auto"/>
        <w:rPr>
          <w:rFonts w:eastAsia="Arial Unicode MS" w:cs="Times New Roman"/>
          <w:color w:val="000000"/>
          <w:kern w:val="0"/>
          <w:sz w:val="24"/>
          <w:szCs w:val="24"/>
          <w:u w:color="000000"/>
          <w:lang w:eastAsia="pl-PL"/>
          <w14:ligatures w14:val="none"/>
        </w:rPr>
      </w:pPr>
      <w:r>
        <w:rPr>
          <w:rFonts w:eastAsia="Arial Unicode MS" w:cs="Times New Roman"/>
          <w:color w:val="000000"/>
          <w:kern w:val="0"/>
          <w:sz w:val="24"/>
          <w:szCs w:val="24"/>
          <w:u w:color="000000"/>
          <w:lang w:eastAsia="pl-PL"/>
          <w14:ligatures w14:val="none"/>
        </w:rPr>
        <w:t>Opracowała: Dominika Woźniak</w:t>
      </w:r>
    </w:p>
    <w:p w14:paraId="38CEBB6A" w14:textId="77777777" w:rsidR="00B11782" w:rsidRPr="00B11782" w:rsidRDefault="00B11782" w:rsidP="00B11782">
      <w:pPr>
        <w:pStyle w:val="Akapitzlist"/>
        <w:spacing w:after="0" w:line="276" w:lineRule="auto"/>
        <w:ind w:left="0"/>
        <w:rPr>
          <w:rFonts w:cstheme="minorHAnsi"/>
          <w:color w:val="EE0000"/>
          <w:sz w:val="24"/>
          <w:szCs w:val="24"/>
        </w:rPr>
      </w:pPr>
    </w:p>
    <w:sectPr w:rsidR="00B11782" w:rsidRPr="00B1178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CE73B" w14:textId="77777777" w:rsidR="00B11782" w:rsidRDefault="00B11782" w:rsidP="00B11782">
      <w:pPr>
        <w:spacing w:after="0" w:line="240" w:lineRule="auto"/>
      </w:pPr>
      <w:r>
        <w:separator/>
      </w:r>
    </w:p>
  </w:endnote>
  <w:endnote w:type="continuationSeparator" w:id="0">
    <w:p w14:paraId="06D8507E" w14:textId="77777777" w:rsidR="00B11782" w:rsidRDefault="00B11782" w:rsidP="00B1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4620627"/>
      <w:docPartObj>
        <w:docPartGallery w:val="Page Numbers (Bottom of Page)"/>
        <w:docPartUnique/>
      </w:docPartObj>
    </w:sdtPr>
    <w:sdtContent>
      <w:p w14:paraId="3087EF28" w14:textId="00DE5378" w:rsidR="00B11782" w:rsidRDefault="00B11782">
        <w:pPr>
          <w:pStyle w:val="Stopka"/>
          <w:jc w:val="right"/>
        </w:pPr>
        <w:r>
          <w:fldChar w:fldCharType="begin"/>
        </w:r>
        <w:r>
          <w:instrText>PAGE   \* MERGEFORMAT</w:instrText>
        </w:r>
        <w:r>
          <w:fldChar w:fldCharType="separate"/>
        </w:r>
        <w:r>
          <w:rPr>
            <w:noProof/>
          </w:rPr>
          <w:t>4</w:t>
        </w:r>
        <w:r>
          <w:fldChar w:fldCharType="end"/>
        </w:r>
      </w:p>
    </w:sdtContent>
  </w:sdt>
  <w:p w14:paraId="7BA31445" w14:textId="77777777" w:rsidR="00B11782" w:rsidRDefault="00B1178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7AC03" w14:textId="77777777" w:rsidR="00B11782" w:rsidRDefault="00B11782" w:rsidP="00B11782">
      <w:pPr>
        <w:spacing w:after="0" w:line="240" w:lineRule="auto"/>
      </w:pPr>
      <w:r>
        <w:separator/>
      </w:r>
    </w:p>
  </w:footnote>
  <w:footnote w:type="continuationSeparator" w:id="0">
    <w:p w14:paraId="5748AD43" w14:textId="77777777" w:rsidR="00B11782" w:rsidRDefault="00B11782" w:rsidP="00B1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14880"/>
    <w:multiLevelType w:val="hybridMultilevel"/>
    <w:tmpl w:val="EDD825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4B36D7F"/>
    <w:multiLevelType w:val="hybridMultilevel"/>
    <w:tmpl w:val="CCEC2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1F30EC"/>
    <w:multiLevelType w:val="hybridMultilevel"/>
    <w:tmpl w:val="EDD825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D2849A9"/>
    <w:multiLevelType w:val="hybridMultilevel"/>
    <w:tmpl w:val="AE7A1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9923166"/>
    <w:multiLevelType w:val="hybridMultilevel"/>
    <w:tmpl w:val="3AF42C84"/>
    <w:lvl w:ilvl="0" w:tplc="2BEEB0E4">
      <w:start w:val="1"/>
      <w:numFmt w:val="decimal"/>
      <w:lvlText w:val="%1."/>
      <w:lvlJc w:val="left"/>
      <w:pPr>
        <w:ind w:left="360" w:hanging="360"/>
      </w:pPr>
      <w:rPr>
        <w:rFonts w:ascii="Calibri" w:hAnsi="Calibri" w:cs="Times New Roman"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F92"/>
    <w:rsid w:val="00034D21"/>
    <w:rsid w:val="00271CD3"/>
    <w:rsid w:val="0039054E"/>
    <w:rsid w:val="00406D84"/>
    <w:rsid w:val="004249BC"/>
    <w:rsid w:val="00451143"/>
    <w:rsid w:val="004515F0"/>
    <w:rsid w:val="00464C31"/>
    <w:rsid w:val="00493C1D"/>
    <w:rsid w:val="005C144A"/>
    <w:rsid w:val="005F3383"/>
    <w:rsid w:val="00607E02"/>
    <w:rsid w:val="00667964"/>
    <w:rsid w:val="006B7F92"/>
    <w:rsid w:val="00727628"/>
    <w:rsid w:val="007D79FB"/>
    <w:rsid w:val="007E0A59"/>
    <w:rsid w:val="00861852"/>
    <w:rsid w:val="00940396"/>
    <w:rsid w:val="00961860"/>
    <w:rsid w:val="0099464B"/>
    <w:rsid w:val="009F009C"/>
    <w:rsid w:val="00A72E5F"/>
    <w:rsid w:val="00A91654"/>
    <w:rsid w:val="00A926A0"/>
    <w:rsid w:val="00B11782"/>
    <w:rsid w:val="00B14561"/>
    <w:rsid w:val="00BC1963"/>
    <w:rsid w:val="00BC3B3C"/>
    <w:rsid w:val="00BC53E7"/>
    <w:rsid w:val="00CE3272"/>
    <w:rsid w:val="00DE2990"/>
    <w:rsid w:val="00E9353A"/>
    <w:rsid w:val="00F95853"/>
    <w:rsid w:val="00F96C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B772A"/>
  <w15:chartTrackingRefBased/>
  <w15:docId w15:val="{EB5AC30F-88E8-4214-BBBE-4815B050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6B7F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7F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7F9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7F9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7F9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7F9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7F9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7F9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7F9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rukiword">
    <w:name w:val="druki word"/>
    <w:basedOn w:val="Normalny"/>
    <w:link w:val="drukiwordZnak"/>
    <w:qFormat/>
    <w:rsid w:val="00034D21"/>
    <w:pPr>
      <w:autoSpaceDE w:val="0"/>
      <w:autoSpaceDN w:val="0"/>
      <w:adjustRightInd w:val="0"/>
      <w:spacing w:after="0" w:line="240" w:lineRule="auto"/>
    </w:pPr>
    <w:rPr>
      <w:rFonts w:ascii="Calibri" w:hAnsi="Calibri" w:cs="Calibri"/>
      <w:iCs/>
      <w:color w:val="0070C0"/>
      <w:sz w:val="20"/>
      <w:szCs w:val="20"/>
    </w:rPr>
  </w:style>
  <w:style w:type="character" w:customStyle="1" w:styleId="drukiwordZnak">
    <w:name w:val="druki word Znak"/>
    <w:basedOn w:val="Domylnaczcionkaakapitu"/>
    <w:link w:val="drukiword"/>
    <w:rsid w:val="00034D21"/>
    <w:rPr>
      <w:rFonts w:ascii="Calibri" w:hAnsi="Calibri" w:cs="Calibri"/>
      <w:iCs/>
      <w:color w:val="0070C0"/>
      <w:sz w:val="20"/>
      <w:szCs w:val="20"/>
    </w:rPr>
  </w:style>
  <w:style w:type="character" w:customStyle="1" w:styleId="Nagwek1Znak">
    <w:name w:val="Nagłówek 1 Znak"/>
    <w:basedOn w:val="Domylnaczcionkaakapitu"/>
    <w:link w:val="Nagwek1"/>
    <w:uiPriority w:val="9"/>
    <w:rsid w:val="006B7F9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7F9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7F9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7F9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7F9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7F9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7F9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7F9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7F92"/>
    <w:rPr>
      <w:rFonts w:eastAsiaTheme="majorEastAsia" w:cstheme="majorBidi"/>
      <w:color w:val="272727" w:themeColor="text1" w:themeTint="D8"/>
    </w:rPr>
  </w:style>
  <w:style w:type="paragraph" w:styleId="Tytu">
    <w:name w:val="Title"/>
    <w:basedOn w:val="Normalny"/>
    <w:next w:val="Normalny"/>
    <w:link w:val="TytuZnak"/>
    <w:uiPriority w:val="10"/>
    <w:qFormat/>
    <w:rsid w:val="006B7F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7F9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7F9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7F9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7F92"/>
    <w:pPr>
      <w:spacing w:before="160"/>
      <w:jc w:val="center"/>
    </w:pPr>
    <w:rPr>
      <w:i/>
      <w:iCs/>
      <w:color w:val="404040" w:themeColor="text1" w:themeTint="BF"/>
    </w:rPr>
  </w:style>
  <w:style w:type="character" w:customStyle="1" w:styleId="CytatZnak">
    <w:name w:val="Cytat Znak"/>
    <w:basedOn w:val="Domylnaczcionkaakapitu"/>
    <w:link w:val="Cytat"/>
    <w:uiPriority w:val="29"/>
    <w:rsid w:val="006B7F92"/>
    <w:rPr>
      <w:i/>
      <w:iCs/>
      <w:color w:val="404040" w:themeColor="text1" w:themeTint="BF"/>
    </w:rPr>
  </w:style>
  <w:style w:type="paragraph" w:styleId="Akapitzlist">
    <w:name w:val="List Paragraph"/>
    <w:basedOn w:val="Normalny"/>
    <w:uiPriority w:val="34"/>
    <w:qFormat/>
    <w:rsid w:val="006B7F92"/>
    <w:pPr>
      <w:ind w:left="720"/>
      <w:contextualSpacing/>
    </w:pPr>
  </w:style>
  <w:style w:type="character" w:styleId="Wyrnienieintensywne">
    <w:name w:val="Intense Emphasis"/>
    <w:basedOn w:val="Domylnaczcionkaakapitu"/>
    <w:uiPriority w:val="21"/>
    <w:qFormat/>
    <w:rsid w:val="006B7F92"/>
    <w:rPr>
      <w:i/>
      <w:iCs/>
      <w:color w:val="2F5496" w:themeColor="accent1" w:themeShade="BF"/>
    </w:rPr>
  </w:style>
  <w:style w:type="paragraph" w:styleId="Cytatintensywny">
    <w:name w:val="Intense Quote"/>
    <w:basedOn w:val="Normalny"/>
    <w:next w:val="Normalny"/>
    <w:link w:val="CytatintensywnyZnak"/>
    <w:uiPriority w:val="30"/>
    <w:qFormat/>
    <w:rsid w:val="006B7F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7F92"/>
    <w:rPr>
      <w:i/>
      <w:iCs/>
      <w:color w:val="2F5496" w:themeColor="accent1" w:themeShade="BF"/>
    </w:rPr>
  </w:style>
  <w:style w:type="character" w:styleId="Odwoanieintensywne">
    <w:name w:val="Intense Reference"/>
    <w:basedOn w:val="Domylnaczcionkaakapitu"/>
    <w:uiPriority w:val="32"/>
    <w:qFormat/>
    <w:rsid w:val="006B7F92"/>
    <w:rPr>
      <w:b/>
      <w:bCs/>
      <w:smallCaps/>
      <w:color w:val="2F5496" w:themeColor="accent1" w:themeShade="BF"/>
      <w:spacing w:val="5"/>
    </w:rPr>
  </w:style>
  <w:style w:type="paragraph" w:styleId="Nagwek">
    <w:name w:val="header"/>
    <w:basedOn w:val="Normalny"/>
    <w:link w:val="NagwekZnak"/>
    <w:uiPriority w:val="99"/>
    <w:unhideWhenUsed/>
    <w:rsid w:val="00B11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1782"/>
  </w:style>
  <w:style w:type="paragraph" w:styleId="Stopka">
    <w:name w:val="footer"/>
    <w:basedOn w:val="Normalny"/>
    <w:link w:val="StopkaZnak"/>
    <w:uiPriority w:val="99"/>
    <w:unhideWhenUsed/>
    <w:rsid w:val="00B11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1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1581</Words>
  <Characters>9492</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Dominika Woźniak</dc:creator>
  <cp:keywords/>
  <dc:description/>
  <cp:lastModifiedBy>Izabela ID. Dróżdż</cp:lastModifiedBy>
  <cp:revision>17</cp:revision>
  <dcterms:created xsi:type="dcterms:W3CDTF">2026-04-27T09:53:00Z</dcterms:created>
  <dcterms:modified xsi:type="dcterms:W3CDTF">2026-04-30T10:18:00Z</dcterms:modified>
</cp:coreProperties>
</file>